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jc w:val="right"/>
        <w:outlineLvl w:val="0"/>
        <w:rPr>
          <w:rFonts w:hint="default" w:eastAsia="宋体"/>
          <w:b/>
          <w:sz w:val="24"/>
          <w:highlight w:val="none"/>
          <w:lang w:val="en-US" w:eastAsia="zh-CN"/>
        </w:rPr>
      </w:pPr>
      <w:bookmarkStart w:id="0" w:name="_Hlt450066087"/>
      <w:bookmarkEnd w:id="0"/>
      <w:bookmarkStart w:id="1" w:name="_Hlt448930105"/>
      <w:bookmarkEnd w:id="1"/>
      <w:bookmarkStart w:id="2" w:name="_Hlt450066085"/>
      <w:bookmarkEnd w:id="2"/>
      <w:bookmarkStart w:id="3" w:name="_Hlt450051172"/>
      <w:bookmarkEnd w:id="3"/>
      <w:bookmarkStart w:id="4" w:name="_Hlt450039480"/>
      <w:bookmarkEnd w:id="4"/>
      <w:bookmarkStart w:id="5" w:name="_Hlt449016246"/>
      <w:bookmarkEnd w:id="5"/>
      <w:r>
        <w:rPr>
          <w:b/>
          <w:sz w:val="24"/>
          <w:highlight w:val="none"/>
        </w:rPr>
        <w:t>3GPP TSG RAN#96</w:t>
      </w:r>
      <w:r>
        <w:rPr>
          <w:b/>
          <w:sz w:val="24"/>
          <w:highlight w:val="none"/>
        </w:rPr>
        <w:tab/>
      </w:r>
      <w:r>
        <w:rPr>
          <w:b/>
          <w:sz w:val="24"/>
          <w:highlight w:val="none"/>
        </w:rPr>
        <w:t>RP-22</w:t>
      </w:r>
      <w:r>
        <w:rPr>
          <w:rFonts w:hint="eastAsia" w:eastAsia="宋体"/>
          <w:b/>
          <w:sz w:val="24"/>
          <w:highlight w:val="none"/>
          <w:lang w:val="en-US" w:eastAsia="zh-CN"/>
        </w:rPr>
        <w:t>1</w:t>
      </w:r>
      <w:r>
        <w:rPr>
          <w:rFonts w:hint="eastAsia"/>
          <w:b/>
          <w:sz w:val="24"/>
          <w:highlight w:val="none"/>
          <w:lang w:val="en-US" w:eastAsia="zh-CN"/>
        </w:rPr>
        <w:t>8347</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eastAsia="宋体" w:cs="Arial"/>
          <w:b/>
          <w:color w:val="auto"/>
          <w:sz w:val="24"/>
          <w:szCs w:val="24"/>
          <w:highlight w:val="none"/>
          <w:lang w:val="en-US" w:eastAsia="zh-CN"/>
        </w:rPr>
      </w:pPr>
      <w:r>
        <w:rPr>
          <w:b/>
          <w:sz w:val="24"/>
          <w:highlight w:val="none"/>
        </w:rPr>
        <w:t>Budapest, Hungary, June 6 - 9, 2022</w:t>
      </w:r>
      <w:r>
        <w:rPr>
          <w:rFonts w:hint="eastAsia"/>
          <w:b/>
          <w:sz w:val="24"/>
          <w:highlight w:val="none"/>
          <w:lang w:val="en-US" w:eastAsia="zh-CN"/>
        </w:rPr>
        <w:t xml:space="preserve">                                               </w:t>
      </w:r>
      <w:r>
        <w:rPr>
          <w:rFonts w:eastAsia="Batang" w:cs="Arial"/>
          <w:sz w:val="18"/>
          <w:szCs w:val="18"/>
          <w:lang w:eastAsia="zh-CN"/>
        </w:rPr>
        <w:t>(revision of RP-22</w:t>
      </w:r>
      <w:r>
        <w:rPr>
          <w:rFonts w:hint="eastAsia" w:eastAsia="Batang" w:cs="Arial"/>
          <w:sz w:val="18"/>
          <w:szCs w:val="18"/>
          <w:lang w:val="en-US" w:eastAsia="zh-CN"/>
        </w:rPr>
        <w:t>1637</w:t>
      </w:r>
      <w:r>
        <w:rPr>
          <w:rFonts w:eastAsia="Batang" w:cs="Arial"/>
          <w:sz w:val="18"/>
          <w:szCs w:val="18"/>
          <w:lang w:eastAsia="zh-CN"/>
        </w:rPr>
        <w:t>)</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MS Mincho" w:cs="Arial"/>
          <w:b/>
          <w:lang w:eastAsia="ja-JP"/>
        </w:rPr>
        <w:t>New WID: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&gt;</w:t>
      </w:r>
      <w:r>
        <w:rPr>
          <w:rFonts w:hint="eastAsia" w:ascii="Arial" w:hAnsi="Arial" w:eastAsia="MS Mincho" w:cs="Arial"/>
          <w:b/>
          <w:lang w:eastAsia="ja-JP"/>
        </w:rPr>
        <w:t>2)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&gt;</w:t>
      </w:r>
      <w:r>
        <w:rPr>
          <w:rFonts w:hint="eastAsia"/>
          <w:lang w:eastAsia="ja-JP"/>
        </w:rPr>
        <w:t>2)</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tbd</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&gt;</w:t>
            </w:r>
            <w:r>
              <w:rPr>
                <w:rFonts w:hint="eastAsia"/>
                <w:lang w:eastAsia="ja-JP"/>
              </w:rPr>
              <w:t>2)</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ascii="Arial" w:hAnsi="Arial" w:eastAsia="Calibri" w:cs="Arial"/>
                <w:sz w:val="18"/>
                <w:szCs w:val="18"/>
                <w:lang w:val="en-US" w:eastAsia="zh-CN" w:bidi="ar-SA"/>
              </w:rPr>
              <w:t>tbd</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宋体" w:cs="Arial"/>
                <w:sz w:val="18"/>
                <w:szCs w:val="18"/>
                <w:lang w:val="en-US" w:eastAsia="zh-CN" w:bidi="ar-SA"/>
              </w:rPr>
              <w:t>&gt;</w:t>
            </w:r>
            <w:r>
              <w:rPr>
                <w:rFonts w:hint="eastAsia" w:ascii="Arial" w:hAnsi="Arial" w:eastAsia="Calibri" w:cs="Arial"/>
                <w:sz w:val="18"/>
                <w:szCs w:val="18"/>
                <w:lang w:val="en-US" w:eastAsia="ja-JP" w:bidi="ar-SA"/>
              </w:rPr>
              <w:t>2)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ascii="Arial" w:hAnsi="Arial" w:eastAsia="Calibri" w:cs="Arial"/>
                <w:sz w:val="18"/>
                <w:szCs w:val="18"/>
                <w:lang w:val="en-US" w:eastAsia="zh-CN" w:bidi="ar-SA"/>
              </w:rPr>
              <w:t>tbd</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宋体" w:cs="Arial"/>
                <w:sz w:val="18"/>
                <w:szCs w:val="18"/>
                <w:lang w:val="en-US" w:eastAsia="zh-CN" w:bidi="ar-SA"/>
              </w:rPr>
              <w:t>&gt;</w:t>
            </w:r>
            <w:r>
              <w:rPr>
                <w:rFonts w:hint="eastAsia" w:ascii="Arial" w:hAnsi="Arial" w:eastAsia="Calibri" w:cs="Arial"/>
                <w:sz w:val="18"/>
                <w:szCs w:val="18"/>
                <w:lang w:val="en-US" w:eastAsia="ja-JP" w:bidi="ar-SA"/>
              </w:rPr>
              <w:t>2)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default"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cs="Arial"/>
          <w:sz w:val="18"/>
          <w:szCs w:val="18"/>
          <w:lang w:val="en-US" w:eastAsia="zh-CN"/>
        </w:rPr>
        <w:t xml:space="preserve">x LTE bands(x=1,2,3) and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(&gt;2)</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y&gt;2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hint="default" w:ascii="Arial" w:hAnsi="Arial" w:cs="Arial"/>
          <w:sz w:val="18"/>
          <w:szCs w:val="18"/>
          <w:lang w:eastAsia="ja-JP"/>
        </w:rPr>
      </w:pPr>
      <w:r>
        <w:rPr>
          <w:rFonts w:hint="default" w:ascii="Arial" w:hAnsi="Arial" w:cs="Arial"/>
          <w:sz w:val="18"/>
          <w:szCs w:val="18"/>
          <w:lang w:eastAsia="ja-JP"/>
        </w:rPr>
        <w:t xml:space="preserve">The </w:t>
      </w:r>
      <w:r>
        <w:rPr>
          <w:rFonts w:hint="eastAsia" w:ascii="Arial" w:hAnsi="Arial" w:eastAsia="宋体" w:cs="Arial"/>
          <w:sz w:val="18"/>
          <w:szCs w:val="18"/>
          <w:lang w:eastAsia="zh-CN"/>
        </w:rPr>
        <w:t>DC</w:t>
      </w:r>
      <w:r>
        <w:rPr>
          <w:rFonts w:hint="default" w:ascii="Arial" w:hAnsi="Arial" w:cs="Arial"/>
          <w:sz w:val="18"/>
          <w:szCs w:val="18"/>
          <w:lang w:eastAsia="ja-JP"/>
        </w:rPr>
        <w:t xml:space="preserve"> </w:t>
      </w:r>
      <w:r>
        <w:rPr>
          <w:rFonts w:hint="default" w:ascii="Arial" w:hAnsi="Arial" w:cs="Arial"/>
          <w:sz w:val="18"/>
          <w:szCs w:val="18"/>
        </w:rPr>
        <w:t xml:space="preserve">configurations </w:t>
      </w:r>
      <w:r>
        <w:rPr>
          <w:rFonts w:hint="default" w:ascii="Arial" w:hAnsi="Arial" w:cs="Arial"/>
          <w:sz w:val="18"/>
          <w:szCs w:val="18"/>
          <w:lang w:eastAsia="ja-JP"/>
        </w:rPr>
        <w:t>including</w:t>
      </w:r>
      <w:r>
        <w:rPr>
          <w:rFonts w:hint="default" w:ascii="Arial" w:hAnsi="Arial" w:eastAsia="宋体" w:cs="Arial"/>
          <w:sz w:val="18"/>
          <w:szCs w:val="18"/>
          <w:lang w:val="en-US" w:eastAsia="zh-CN"/>
        </w:rPr>
        <w:t xml:space="preserve"> </w:t>
      </w:r>
      <w:r>
        <w:rPr>
          <w:rFonts w:hint="eastAsia" w:ascii="Arial" w:hAnsi="Arial"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(&gt;2)</w:t>
      </w:r>
      <w:r>
        <w:rPr>
          <w:rFonts w:hint="default" w:ascii="Arial" w:hAnsi="Arial" w:cs="Arial"/>
          <w:sz w:val="18"/>
          <w:szCs w:val="18"/>
          <w:lang w:eastAsia="ja-JP"/>
        </w:rPr>
        <w:t xml:space="preserve"> NR CA </w:t>
      </w:r>
      <w:r>
        <w:rPr>
          <w:rFonts w:hint="default" w:ascii="Arial" w:hAnsi="Arial" w:cs="Arial"/>
          <w:sz w:val="18"/>
          <w:szCs w:val="18"/>
        </w:rPr>
        <w:t xml:space="preserve">will be introduced </w:t>
      </w:r>
      <w:r>
        <w:rPr>
          <w:rFonts w:hint="default" w:ascii="Arial" w:hAnsi="Arial" w:cs="Arial"/>
          <w:sz w:val="18"/>
          <w:szCs w:val="18"/>
          <w:lang w:eastAsia="ja-JP"/>
        </w:rPr>
        <w:t xml:space="preserve">in a </w:t>
      </w:r>
      <w:r>
        <w:rPr>
          <w:rFonts w:hint="default" w:ascii="Arial" w:hAnsi="Arial" w:cs="Arial"/>
          <w:sz w:val="18"/>
          <w:szCs w:val="18"/>
        </w:rPr>
        <w:t xml:space="preserve">release independent </w:t>
      </w:r>
      <w:r>
        <w:rPr>
          <w:rFonts w:hint="default" w:ascii="Arial" w:hAnsi="Arial" w:cs="Arial"/>
          <w:sz w:val="18"/>
          <w:szCs w:val="18"/>
          <w:lang w:eastAsia="ja-JP"/>
        </w:rPr>
        <w:t xml:space="preserve">manner based on TS38.307, which will be updated depending on newly introduced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including NR CA.</w:t>
      </w:r>
    </w:p>
    <w:p>
      <w:pPr>
        <w:rPr>
          <w:rFonts w:hint="default" w:ascii="Arial" w:hAnsi="Arial" w:eastAsia="MS Mincho" w:cs="Arial"/>
          <w:sz w:val="18"/>
          <w:szCs w:val="18"/>
          <w:lang w:eastAsia="ja-JP"/>
        </w:rPr>
      </w:pPr>
      <w:r>
        <w:rPr>
          <w:rFonts w:hint="default" w:ascii="Arial" w:hAnsi="Arial" w:eastAsia="MS Mincho" w:cs="Arial"/>
          <w:sz w:val="18"/>
          <w:szCs w:val="18"/>
          <w:lang w:eastAsia="ja-JP"/>
        </w:rPr>
        <w:t xml:space="preserve">The preconditions to </w:t>
      </w:r>
      <w:r>
        <w:rPr>
          <w:rFonts w:hint="default" w:ascii="Arial" w:hAnsi="Arial" w:eastAsia="Malgun Gothic" w:cs="Arial"/>
          <w:sz w:val="18"/>
          <w:szCs w:val="18"/>
          <w:lang w:eastAsia="ko-KR"/>
        </w:rPr>
        <w:t xml:space="preserve">propose </w:t>
      </w:r>
      <w:r>
        <w:rPr>
          <w:rFonts w:hint="eastAsia" w:ascii="Arial" w:hAnsi="Arial" w:eastAsia="宋体" w:cs="Arial"/>
          <w:sz w:val="18"/>
          <w:szCs w:val="18"/>
          <w:lang w:eastAsia="zh-CN"/>
        </w:rPr>
        <w:t>DC</w:t>
      </w:r>
      <w:r>
        <w:rPr>
          <w:rFonts w:hint="default" w:ascii="Arial" w:hAnsi="Arial" w:eastAsia="MS Mincho"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eastAsia="MS Mincho"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w:t>
      </w:r>
      <w:r>
        <w:rPr>
          <w:rFonts w:hint="default" w:ascii="Arial" w:hAnsi="Arial" w:eastAsia="MS Mincho" w:cs="Arial"/>
          <w:sz w:val="18"/>
          <w:szCs w:val="18"/>
          <w:lang w:eastAsia="ja-JP"/>
        </w:rPr>
        <w:t>with 1 band UL</w:t>
      </w:r>
      <w:r>
        <w:rPr>
          <w:rFonts w:hint="default" w:ascii="Arial" w:hAnsi="Arial" w:eastAsia="Malgun Gothic" w:cs="Arial"/>
          <w:sz w:val="18"/>
          <w:szCs w:val="18"/>
          <w:lang w:eastAsia="ko-KR"/>
        </w:rPr>
        <w:t xml:space="preserve"> in rel-1</w:t>
      </w:r>
      <w:r>
        <w:rPr>
          <w:rFonts w:hint="eastAsia" w:ascii="Arial" w:hAnsi="Arial" w:cs="Arial"/>
          <w:sz w:val="18"/>
          <w:szCs w:val="18"/>
          <w:lang w:val="en-US" w:eastAsia="zh-CN"/>
        </w:rPr>
        <w:t>8</w:t>
      </w:r>
      <w:r>
        <w:rPr>
          <w:rFonts w:hint="default" w:ascii="Arial" w:hAnsi="Arial" w:eastAsia="Malgun Gothic" w:cs="Arial"/>
          <w:sz w:val="18"/>
          <w:szCs w:val="18"/>
          <w:lang w:eastAsia="ko-KR"/>
        </w:rPr>
        <w:t xml:space="preserve"> </w:t>
      </w:r>
      <w:r>
        <w:rPr>
          <w:rFonts w:hint="default" w:ascii="Arial" w:hAnsi="Arial" w:eastAsia="MS Mincho" w:cs="Arial"/>
          <w:sz w:val="18"/>
          <w:szCs w:val="18"/>
          <w:lang w:eastAsia="ja-JP"/>
        </w:rPr>
        <w:t>are as follows.</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Constituent NR inter band CA including intra band CA</w:t>
      </w:r>
      <w:r>
        <w:rPr>
          <w:rFonts w:hint="eastAsia" w:ascii="Arial" w:hAnsi="Arial" w:cs="Arial"/>
          <w:sz w:val="18"/>
          <w:szCs w:val="18"/>
          <w:lang w:val="en-US" w:eastAsia="zh-CN"/>
        </w:rPr>
        <w:t xml:space="preserve"> </w:t>
      </w:r>
      <w:r>
        <w:rPr>
          <w:rFonts w:hint="default" w:ascii="Arial" w:hAnsi="Arial" w:eastAsia="MS Mincho" w:cs="Arial"/>
          <w:sz w:val="18"/>
          <w:szCs w:val="18"/>
          <w:lang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(&gt;2)</w:t>
      </w:r>
      <w:r>
        <w:rPr>
          <w:rFonts w:hint="default" w:ascii="Arial" w:hAnsi="Arial" w:cs="Arial"/>
          <w:sz w:val="18"/>
          <w:szCs w:val="18"/>
          <w:lang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w:t>
      </w:r>
      <w:r>
        <w:rPr>
          <w:rFonts w:hint="eastAsia" w:ascii="Arial" w:hAnsi="Arial" w:eastAsia="宋体" w:cs="Arial"/>
          <w:sz w:val="18"/>
          <w:szCs w:val="18"/>
          <w:lang w:val="en-US" w:eastAsia="zh-CN"/>
        </w:rPr>
        <w:t>(y&gt;2)</w:t>
      </w:r>
      <w:r>
        <w:rPr>
          <w:rFonts w:hint="default" w:ascii="Arial" w:hAnsi="Arial" w:eastAsia="宋体" w:cs="Arial"/>
          <w:sz w:val="18"/>
          <w:szCs w:val="18"/>
          <w:lang w:val="en-US" w:eastAsia="ja-JP"/>
        </w:rPr>
        <w:t xml:space="preserve"> </w:t>
      </w:r>
      <w:r>
        <w:rPr>
          <w:rFonts w:hint="default" w:ascii="Arial" w:hAnsi="Arial" w:eastAsia="MS Mincho" w:cs="Arial"/>
          <w:sz w:val="18"/>
          <w:szCs w:val="18"/>
          <w:lang w:eastAsia="ja-JP"/>
        </w:rPr>
        <w:t>with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bookmarkStart w:id="11" w:name="_GoBack"/>
      <w:bookmarkEnd w:id="11"/>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5A70F0"/>
    <w:rsid w:val="205B5A4B"/>
    <w:rsid w:val="20BD3926"/>
    <w:rsid w:val="20EF53A4"/>
    <w:rsid w:val="21450F76"/>
    <w:rsid w:val="21836AFE"/>
    <w:rsid w:val="21B27C97"/>
    <w:rsid w:val="22BC53C6"/>
    <w:rsid w:val="2378460A"/>
    <w:rsid w:val="242131A8"/>
    <w:rsid w:val="24260A44"/>
    <w:rsid w:val="242A21AD"/>
    <w:rsid w:val="248135EC"/>
    <w:rsid w:val="252C342D"/>
    <w:rsid w:val="255158B2"/>
    <w:rsid w:val="26101AA1"/>
    <w:rsid w:val="265E3A4F"/>
    <w:rsid w:val="268847DE"/>
    <w:rsid w:val="27137D75"/>
    <w:rsid w:val="2714209E"/>
    <w:rsid w:val="273716F1"/>
    <w:rsid w:val="27A974FD"/>
    <w:rsid w:val="2804506E"/>
    <w:rsid w:val="2846128F"/>
    <w:rsid w:val="28815514"/>
    <w:rsid w:val="28DA0AE8"/>
    <w:rsid w:val="28DE2034"/>
    <w:rsid w:val="28E2423E"/>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A374B1"/>
    <w:rsid w:val="3EB6098D"/>
    <w:rsid w:val="3EFA2834"/>
    <w:rsid w:val="3F1A35B9"/>
    <w:rsid w:val="3F2A708B"/>
    <w:rsid w:val="3FD339F9"/>
    <w:rsid w:val="401A3BF8"/>
    <w:rsid w:val="40B84F1B"/>
    <w:rsid w:val="40BC6B5D"/>
    <w:rsid w:val="40EC4C10"/>
    <w:rsid w:val="414311A8"/>
    <w:rsid w:val="41BC5A0D"/>
    <w:rsid w:val="41CA72C9"/>
    <w:rsid w:val="4219668D"/>
    <w:rsid w:val="42434EA8"/>
    <w:rsid w:val="42753332"/>
    <w:rsid w:val="42BB43CD"/>
    <w:rsid w:val="434E102D"/>
    <w:rsid w:val="43CC1582"/>
    <w:rsid w:val="43DC01C8"/>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9A17C87"/>
    <w:rsid w:val="59AA013E"/>
    <w:rsid w:val="59FC362E"/>
    <w:rsid w:val="5A254CC5"/>
    <w:rsid w:val="5A462E3C"/>
    <w:rsid w:val="5A512614"/>
    <w:rsid w:val="5AC015DD"/>
    <w:rsid w:val="5BAE4B64"/>
    <w:rsid w:val="5BC25EFB"/>
    <w:rsid w:val="5BCF1FB6"/>
    <w:rsid w:val="5BD12F85"/>
    <w:rsid w:val="5BE676E3"/>
    <w:rsid w:val="5C083E2E"/>
    <w:rsid w:val="5C194278"/>
    <w:rsid w:val="5CD50208"/>
    <w:rsid w:val="5CE02D5C"/>
    <w:rsid w:val="5D2700DC"/>
    <w:rsid w:val="5DA80C26"/>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9</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2022-06-08T13:20:54Z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